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F315B2" w:rsidRPr="009D7F2E" w:rsidTr="0089288E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F315B2" w:rsidRPr="009D7F2E" w:rsidTr="0089288E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F315B2" w:rsidRPr="009D7F2E" w:rsidRDefault="00F315B2" w:rsidP="008928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55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AB571E" w:rsidRDefault="00F315B2" w:rsidP="008928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3e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08-06-2006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Claude Williams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15B2" w:rsidRPr="009D7F2E" w:rsidRDefault="00F315B2" w:rsidP="008928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PC</w:t>
            </w:r>
          </w:p>
        </w:tc>
      </w:tr>
    </w:tbl>
    <w:p w:rsidR="004E271B" w:rsidRDefault="004E271B"/>
    <w:p w:rsidR="00F315B2" w:rsidRDefault="00F315B2" w:rsidP="00F315B2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F315B2" w:rsidRDefault="00F315B2"/>
    <w:p w:rsidR="00F315B2" w:rsidRPr="008D78A5" w:rsidRDefault="00F315B2" w:rsidP="008D78A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8D78A5">
        <w:rPr>
          <w:rFonts w:eastAsiaTheme="minorHAnsi"/>
          <w:b/>
          <w:bCs/>
          <w:lang w:val="fr-FR" w:eastAsia="en-US"/>
        </w:rPr>
        <w:t>Ministère de l’Éducation</w:t>
      </w:r>
    </w:p>
    <w:p w:rsidR="00BE3888" w:rsidRPr="008D78A5" w:rsidRDefault="00BE3888" w:rsidP="008D78A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F315B2" w:rsidRPr="008D78A5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D78A5">
        <w:rPr>
          <w:rFonts w:eastAsiaTheme="minorHAnsi"/>
          <w:b/>
          <w:bCs/>
          <w:lang w:val="fr-FR" w:eastAsia="en-US"/>
        </w:rPr>
        <w:t xml:space="preserve">L’hon. M. Williams, </w:t>
      </w:r>
      <w:r w:rsidRPr="008D78A5">
        <w:rPr>
          <w:rFonts w:eastAsiaTheme="minorHAnsi"/>
          <w:lang w:val="fr-FR" w:eastAsia="en-US"/>
        </w:rPr>
        <w:t>à l’appel des crédits du ministère de l’Éducation : Est-ce que je peux, avec le</w:t>
      </w:r>
      <w:r w:rsidR="00BE3888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consentement unanime, faire mes prévisions budgétaires d’un siège autre que le mien?</w:t>
      </w:r>
    </w:p>
    <w:p w:rsidR="00BE3888" w:rsidRPr="008D78A5" w:rsidRDefault="00BE3888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315B2" w:rsidRPr="008D78A5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D78A5">
        <w:rPr>
          <w:rFonts w:eastAsiaTheme="minorHAnsi"/>
          <w:b/>
          <w:bCs/>
          <w:lang w:val="fr-FR" w:eastAsia="en-US"/>
        </w:rPr>
        <w:t xml:space="preserve">Des voix </w:t>
      </w:r>
      <w:r w:rsidRPr="008D78A5">
        <w:rPr>
          <w:rFonts w:eastAsiaTheme="minorHAnsi"/>
          <w:lang w:val="fr-FR" w:eastAsia="en-US"/>
        </w:rPr>
        <w:t>: Oui.</w:t>
      </w:r>
    </w:p>
    <w:p w:rsidR="00BE3888" w:rsidRPr="008D78A5" w:rsidRDefault="00BE3888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315B2" w:rsidRPr="008D78A5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D78A5">
        <w:rPr>
          <w:rFonts w:eastAsiaTheme="minorHAnsi"/>
          <w:b/>
          <w:bCs/>
          <w:lang w:val="fr-FR" w:eastAsia="en-US"/>
        </w:rPr>
        <w:t xml:space="preserve">L’hon. M. Williams </w:t>
      </w:r>
      <w:r w:rsidRPr="008D78A5">
        <w:rPr>
          <w:rFonts w:eastAsiaTheme="minorHAnsi"/>
          <w:lang w:val="fr-FR" w:eastAsia="en-US"/>
        </w:rPr>
        <w:t>: Avant de commencer, j’aimerais vous présenter le personnel du ministère qui</w:t>
      </w:r>
      <w:r w:rsidR="00BE3888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m’aidera aujourd’hui. Il y a avec moi Roger Doucet, le sous-ministre du secteur francophone ; Guy</w:t>
      </w:r>
      <w:r w:rsidR="00BE3888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Léveillé, sous-ministre adjoint des services éducatifs du secteur francophone ; Terry McInerney,</w:t>
      </w:r>
      <w:r w:rsidR="00BE3888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sous-ministre adjoint des services éducatifs du secteur anglophone ; Liz Abraham, sous-ministre</w:t>
      </w:r>
      <w:r w:rsidR="00BE3888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adjointe de l’administration et des services financiers ; Ron Breau, directeur des services financiers ;</w:t>
      </w:r>
      <w:r w:rsidR="00BE3888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Margaret Smith, directrice des politiques et de la planification ; Robert Gerard, directeur des</w:t>
      </w:r>
      <w:r w:rsidR="00BE3888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services aux étudiants, et Kim Branch.</w:t>
      </w:r>
    </w:p>
    <w:p w:rsidR="00BE3888" w:rsidRPr="008D78A5" w:rsidRDefault="00BE3888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315B2" w:rsidRPr="008D78A5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D78A5">
        <w:rPr>
          <w:rFonts w:eastAsiaTheme="minorHAnsi"/>
          <w:lang w:val="en-CA" w:eastAsia="en-US"/>
        </w:rPr>
        <w:t>I am very pleased and proud to present the 2006-07 main estimates for the Department of Education.</w:t>
      </w:r>
      <w:r w:rsidR="008D78A5" w:rsidRPr="008D78A5">
        <w:rPr>
          <w:rFonts w:eastAsiaTheme="minorHAnsi"/>
          <w:lang w:val="en-CA" w:eastAsia="en-US"/>
        </w:rPr>
        <w:t xml:space="preserve"> </w:t>
      </w:r>
      <w:r w:rsidRPr="008D78A5">
        <w:rPr>
          <w:rFonts w:eastAsiaTheme="minorHAnsi"/>
          <w:lang w:val="en-CA" w:eastAsia="en-US"/>
        </w:rPr>
        <w:t>The total budget will be $893 million, which represents a $37.5-million increase over the 2005-06</w:t>
      </w:r>
      <w:r w:rsidR="008D78A5" w:rsidRPr="008D78A5">
        <w:rPr>
          <w:rFonts w:eastAsiaTheme="minorHAnsi"/>
          <w:lang w:val="en-CA" w:eastAsia="en-US"/>
        </w:rPr>
        <w:t xml:space="preserve"> </w:t>
      </w:r>
      <w:r w:rsidRPr="008D78A5">
        <w:rPr>
          <w:rFonts w:eastAsiaTheme="minorHAnsi"/>
          <w:lang w:val="en-CA" w:eastAsia="en-US"/>
        </w:rPr>
        <w:t>main estimates.</w:t>
      </w:r>
    </w:p>
    <w:p w:rsidR="008D78A5" w:rsidRPr="008D78A5" w:rsidRDefault="008D78A5" w:rsidP="008D78A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315B2" w:rsidRPr="008D78A5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D78A5">
        <w:rPr>
          <w:rFonts w:eastAsiaTheme="minorHAnsi"/>
          <w:lang w:val="en-CA" w:eastAsia="en-US"/>
        </w:rPr>
        <w:t>The increase in the public education budget will result in increased funding for students. In the</w:t>
      </w:r>
      <w:r w:rsidR="008D78A5" w:rsidRPr="008D78A5">
        <w:rPr>
          <w:rFonts w:eastAsiaTheme="minorHAnsi"/>
          <w:lang w:val="en-CA" w:eastAsia="en-US"/>
        </w:rPr>
        <w:t xml:space="preserve"> </w:t>
      </w:r>
      <w:r w:rsidRPr="008D78A5">
        <w:rPr>
          <w:rFonts w:eastAsiaTheme="minorHAnsi"/>
          <w:lang w:val="en-CA" w:eastAsia="en-US"/>
        </w:rPr>
        <w:t>2006-07 school year, the funding will be $7 243, an increase of nearly 50%, compared with $4</w:t>
      </w:r>
      <w:r w:rsidR="008D78A5" w:rsidRPr="008D78A5">
        <w:rPr>
          <w:rFonts w:eastAsiaTheme="minorHAnsi"/>
          <w:lang w:val="en-CA" w:eastAsia="en-US"/>
        </w:rPr>
        <w:t> </w:t>
      </w:r>
      <w:r w:rsidRPr="008D78A5">
        <w:rPr>
          <w:rFonts w:eastAsiaTheme="minorHAnsi"/>
          <w:lang w:val="en-CA" w:eastAsia="en-US"/>
        </w:rPr>
        <w:t>881</w:t>
      </w:r>
      <w:r w:rsidR="008D78A5" w:rsidRPr="008D78A5">
        <w:rPr>
          <w:rFonts w:eastAsiaTheme="minorHAnsi"/>
          <w:lang w:val="en-CA" w:eastAsia="en-US"/>
        </w:rPr>
        <w:t xml:space="preserve"> </w:t>
      </w:r>
      <w:r w:rsidRPr="008D78A5">
        <w:rPr>
          <w:rFonts w:eastAsiaTheme="minorHAnsi"/>
          <w:lang w:val="en-CA" w:eastAsia="en-US"/>
        </w:rPr>
        <w:t>in 1999.</w:t>
      </w:r>
    </w:p>
    <w:p w:rsidR="008D78A5" w:rsidRPr="008D78A5" w:rsidRDefault="008D78A5" w:rsidP="008D78A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315B2" w:rsidRPr="008D78A5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D78A5">
        <w:rPr>
          <w:rFonts w:eastAsiaTheme="minorHAnsi"/>
          <w:lang w:val="en-CA" w:eastAsia="en-US"/>
        </w:rPr>
        <w:t>(</w:t>
      </w:r>
      <w:r w:rsidRPr="008D78A5">
        <w:rPr>
          <w:rFonts w:eastAsiaTheme="minorHAnsi"/>
          <w:b/>
          <w:bCs/>
          <w:lang w:val="en-CA" w:eastAsia="en-US"/>
        </w:rPr>
        <w:t xml:space="preserve">Mr. Betts </w:t>
      </w:r>
      <w:r w:rsidRPr="008D78A5">
        <w:rPr>
          <w:rFonts w:eastAsiaTheme="minorHAnsi"/>
          <w:lang w:val="en-CA" w:eastAsia="en-US"/>
        </w:rPr>
        <w:t>took the chair.)</w:t>
      </w:r>
    </w:p>
    <w:p w:rsidR="008D78A5" w:rsidRPr="008D78A5" w:rsidRDefault="008D78A5" w:rsidP="008D78A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315B2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D78A5">
        <w:rPr>
          <w:rFonts w:eastAsiaTheme="minorHAnsi"/>
          <w:lang w:val="fr-FR" w:eastAsia="en-US"/>
        </w:rPr>
        <w:t>Voici quelques-uns des points saillants des prévisions budgétaires du ministère de l’Éducation pour</w:t>
      </w:r>
      <w:r w:rsidR="008D78A5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2006-2007 :</w:t>
      </w:r>
      <w:r w:rsidR="008D78A5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une augmentation de 37,5 millions de dollars pour le système scolaire ;</w:t>
      </w:r>
      <w:r w:rsidR="008D78A5" w:rsidRPr="008D78A5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9,2 millions pour l’ajout de 240 nouveaux postes d’enseignement en septembre 2006 ;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le nombre maximum d’élèves par salle de classe, et ce, pour tous les niveaux, sera réduit d’un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minimum de quatre élèves au cours des quatre prochaines années ;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dès septembre 2006, il y aura une réduction immédiate d’un élève par classe, comptant le nombre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maximum d’élèves, pour tous les niveaux ;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70,2 millions pour les services et programmes destinés aux élèves ayant des besoins particuliers, soit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une augmentation de 45 % par rapport en 1999 ;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2,8 millions de dollars pour les augmentations salariales des enseignants suppléants ;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une augmentation de 2,3 millions pour les budgets d’énergie et de carburant des districts scolaires.</w:t>
      </w:r>
    </w:p>
    <w:p w:rsidR="00691873" w:rsidRPr="008D78A5" w:rsidRDefault="00691873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315B2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D78A5">
        <w:rPr>
          <w:rFonts w:eastAsiaTheme="minorHAnsi"/>
          <w:lang w:val="en-CA" w:eastAsia="en-US"/>
        </w:rPr>
        <w:t>In addition to these investments, government has allocated $5 million for the implementation of</w:t>
      </w:r>
      <w:r w:rsidR="00691873">
        <w:rPr>
          <w:rFonts w:eastAsiaTheme="minorHAnsi"/>
          <w:lang w:val="en-CA" w:eastAsia="en-US"/>
        </w:rPr>
        <w:t xml:space="preserve"> </w:t>
      </w:r>
      <w:r w:rsidRPr="008D78A5">
        <w:rPr>
          <w:rFonts w:eastAsiaTheme="minorHAnsi"/>
          <w:lang w:val="en-CA" w:eastAsia="en-US"/>
        </w:rPr>
        <w:t>classroom composition initiatives in relation to the report on inclusive education.</w:t>
      </w:r>
    </w:p>
    <w:p w:rsidR="00691873" w:rsidRPr="008D78A5" w:rsidRDefault="00691873" w:rsidP="008D78A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315B2" w:rsidRPr="008D78A5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D78A5">
        <w:rPr>
          <w:rFonts w:eastAsiaTheme="minorHAnsi"/>
          <w:lang w:val="fr-FR" w:eastAsia="en-US"/>
        </w:rPr>
        <w:t>Avant de conclure, j’aimerais profiter de l’occasion pour remercier les gens de Kent-Sud de m’avoir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choisi pour les représenter à l’Assemblée législative. Je suis vraiment honoré de la confiance qu’ils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accordent à mon travail en tant que parlementaire et je continuerai de travailler assidûment en leur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nom.</w:t>
      </w:r>
    </w:p>
    <w:p w:rsidR="00691873" w:rsidRDefault="00691873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315B2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D78A5">
        <w:rPr>
          <w:rFonts w:eastAsiaTheme="minorHAnsi"/>
          <w:lang w:val="fr-FR" w:eastAsia="en-US"/>
        </w:rPr>
        <w:t>Je veux aussi remercier tous les membres du personnel du ministère de l’Éducation et des districts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scolaires pour le travail remarquable et ardu qu’ils accomplissent à l’appui du système d’éducation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au Nouveau-Brunswick.</w:t>
      </w:r>
    </w:p>
    <w:p w:rsidR="00691873" w:rsidRPr="008D78A5" w:rsidRDefault="00691873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315B2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D78A5">
        <w:rPr>
          <w:rFonts w:eastAsiaTheme="minorHAnsi"/>
          <w:lang w:val="fr-FR" w:eastAsia="en-US"/>
        </w:rPr>
        <w:t>Je tiens aussi à remercier les membres des conseils d’éducation de district ainsi que les parents et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les bénévoles, qui déploient tant d’efforts pour soutenir et favoriser la cause de l’éducation dans la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province.</w:t>
      </w:r>
    </w:p>
    <w:p w:rsidR="00691873" w:rsidRPr="008D78A5" w:rsidRDefault="00691873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315B2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D78A5">
        <w:rPr>
          <w:rFonts w:eastAsiaTheme="minorHAnsi"/>
          <w:lang w:val="fr-FR" w:eastAsia="en-US"/>
        </w:rPr>
        <w:t>J’aimerais aussi remercier tout particulièrement notre personnel enseignant, notre personnel aide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enseignant,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notre personnel de soutien ainsi que nos directrices et directeurs et nos directrices et</w:t>
      </w:r>
      <w:r w:rsidR="00691873">
        <w:rPr>
          <w:rFonts w:eastAsiaTheme="minorHAnsi"/>
          <w:lang w:val="fr-FR" w:eastAsia="en-US"/>
        </w:rPr>
        <w:t xml:space="preserve"> </w:t>
      </w:r>
      <w:r w:rsidRPr="008D78A5">
        <w:rPr>
          <w:rFonts w:eastAsiaTheme="minorHAnsi"/>
          <w:lang w:val="fr-FR" w:eastAsia="en-US"/>
        </w:rPr>
        <w:t>directeurs adjoints, sans qui l’éducation ne pourrait être dispensée dans nos écoles.</w:t>
      </w:r>
    </w:p>
    <w:p w:rsidR="00691873" w:rsidRPr="008D78A5" w:rsidRDefault="00691873" w:rsidP="008D78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315B2" w:rsidRPr="008D78A5" w:rsidRDefault="00F315B2" w:rsidP="008D78A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D78A5">
        <w:rPr>
          <w:rFonts w:eastAsiaTheme="minorHAnsi"/>
          <w:lang w:val="en-CA" w:eastAsia="en-US"/>
        </w:rPr>
        <w:t>That concludes my introductory remarks. I look forward to responding to any questions my</w:t>
      </w:r>
    </w:p>
    <w:p w:rsidR="00F315B2" w:rsidRPr="00F315B2" w:rsidRDefault="00F315B2" w:rsidP="008D78A5">
      <w:pPr>
        <w:jc w:val="both"/>
        <w:rPr>
          <w:lang w:val="en-CA"/>
        </w:rPr>
      </w:pPr>
      <w:r w:rsidRPr="008D78A5">
        <w:rPr>
          <w:rFonts w:eastAsiaTheme="minorHAnsi"/>
          <w:lang w:val="en-CA" w:eastAsia="en-US"/>
        </w:rPr>
        <w:t>colleagues may have</w:t>
      </w:r>
      <w:r w:rsidRPr="00F315B2">
        <w:rPr>
          <w:rFonts w:ascii="TimesNewRoman" w:eastAsiaTheme="minorHAnsi" w:hAnsi="TimesNewRoman" w:cs="TimesNewRoman"/>
          <w:lang w:val="en-CA" w:eastAsia="en-US"/>
        </w:rPr>
        <w:t xml:space="preserve"> </w:t>
      </w:r>
      <w:r w:rsidRPr="008D78A5">
        <w:rPr>
          <w:rFonts w:eastAsiaTheme="minorHAnsi"/>
          <w:lang w:val="en-CA" w:eastAsia="en-US"/>
        </w:rPr>
        <w:t>with regard to the department’s main estimates for 2006-07.</w:t>
      </w:r>
      <w:r w:rsidR="00691873">
        <w:rPr>
          <w:rFonts w:eastAsiaTheme="minorHAnsi"/>
          <w:lang w:val="en-CA" w:eastAsia="en-US"/>
        </w:rPr>
        <w:t xml:space="preserve"> </w:t>
      </w:r>
    </w:p>
    <w:sectPr w:rsidR="00F315B2" w:rsidRPr="00F315B2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F315B2"/>
    <w:rsid w:val="004E271B"/>
    <w:rsid w:val="005D2E08"/>
    <w:rsid w:val="00691873"/>
    <w:rsid w:val="00761221"/>
    <w:rsid w:val="008D78A5"/>
    <w:rsid w:val="00BE3888"/>
    <w:rsid w:val="00C11B0E"/>
    <w:rsid w:val="00D6219F"/>
    <w:rsid w:val="00F3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B2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F315B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315B2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3248</Characters>
  <Application>Microsoft Office Word</Application>
  <DocSecurity>0</DocSecurity>
  <Lines>27</Lines>
  <Paragraphs>7</Paragraphs>
  <ScaleCrop>false</ScaleCrop>
  <Company>Acer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2013-03-27T15:01:00Z</dcterms:created>
  <dcterms:modified xsi:type="dcterms:W3CDTF">2013-03-27T15:15:00Z</dcterms:modified>
</cp:coreProperties>
</file>